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</w:rPr>
        <w:t>五月</w:t>
      </w: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各地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质检</w:t>
      </w: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精选地理</w:t>
      </w:r>
      <w:r>
        <w:rPr>
          <w:rFonts w:hint="eastAsia" w:ascii="黑体" w:hAnsi="黑体" w:eastAsia="黑体" w:cs="黑体"/>
          <w:b/>
          <w:bCs/>
          <w:sz w:val="32"/>
          <w:szCs w:val="40"/>
        </w:rPr>
        <w:t>试题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sz w:val="18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一、选择题：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本题共16题，每小题3分，共48分。在每小题给出的四个选项中，只有一项是最符合题目要求的。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</w:rPr>
        <w:t>艾尔斯岩(25°20'S, 131°2'E)位于澳大利亚内陆，是原住民心中的“圣石”，该石距地面最高高度约348米，顶部光滑，四周崖壁上有许多纵向沟槽。早些年，每年都有攀岩爱好者前来攀登。2019年10月26日，澳大利亚政府正式实施艾尔斯岩攀爬禁令。图4为艾尔斯岩景观照片。据此完成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4"/>
        </w:rPr>
        <w:t>~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4"/>
        </w:rPr>
        <w:t>题。</w:t>
      </w:r>
    </w:p>
    <w:p>
      <w:pPr>
        <w:jc w:val="center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</w:rPr>
        <w:drawing>
          <wp:inline distT="0" distB="0" distL="114300" distR="114300">
            <wp:extent cx="3651885" cy="2228850"/>
            <wp:effectExtent l="0" t="0" r="5715" b="6350"/>
            <wp:docPr id="2" name="图片 2" descr="微信截图_2021050819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10508192718"/>
                    <pic:cNvPicPr>
                      <a:picLocks noChangeAspect="1"/>
                    </pic:cNvPicPr>
                  </pic:nvPicPr>
                  <pic:blipFill>
                    <a:blip r:embed="rId5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4"/>
        </w:rPr>
        <w:t>.形成艾尔斯岩四周崖壁上纵向沟槽的主要原因</w:t>
      </w:r>
    </w:p>
    <w:p>
      <w:pPr>
        <w:ind w:firstLine="210" w:firstLineChars="100"/>
        <w:jc w:val="both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</w:rPr>
        <w:t>A.岩层张裂</w:t>
      </w:r>
      <w:r>
        <w:rPr>
          <w:rFonts w:hint="eastAsia" w:ascii="宋体" w:hAnsi="宋体" w:eastAsia="宋体" w:cs="宋体"/>
          <w:sz w:val="21"/>
          <w:szCs w:val="24"/>
        </w:rPr>
        <w:tab/>
      </w:r>
      <w:r>
        <w:rPr>
          <w:rFonts w:hint="eastAsia" w:ascii="宋体" w:hAnsi="宋体" w:eastAsia="宋体" w:cs="宋体"/>
          <w:sz w:val="21"/>
          <w:szCs w:val="24"/>
        </w:rPr>
        <w:t xml:space="preserve">   B.岩浆流动</w:t>
      </w:r>
      <w:r>
        <w:rPr>
          <w:rFonts w:hint="eastAsia" w:ascii="宋体" w:hAnsi="宋体" w:eastAsia="宋体" w:cs="宋体"/>
          <w:sz w:val="21"/>
          <w:szCs w:val="24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FF0000"/>
          <w:sz w:val="21"/>
          <w:szCs w:val="24"/>
        </w:rPr>
        <w:t>C.流水侵蚀</w:t>
      </w:r>
      <w:r>
        <w:rPr>
          <w:rFonts w:hint="eastAsia" w:ascii="宋体" w:hAnsi="宋体" w:eastAsia="宋体" w:cs="宋体"/>
          <w:sz w:val="21"/>
          <w:szCs w:val="24"/>
        </w:rPr>
        <w:tab/>
      </w:r>
      <w:r>
        <w:rPr>
          <w:rFonts w:hint="eastAsia" w:ascii="宋体" w:hAnsi="宋体" w:eastAsia="宋体" w:cs="宋体"/>
          <w:sz w:val="21"/>
          <w:szCs w:val="24"/>
        </w:rPr>
        <w:t xml:space="preserve">    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4"/>
        </w:rPr>
        <w:t>D.风力侵蚀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5.澳大利亚政府实施艾尔斯岩攀爬禁令是为了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</w:p>
    <w:p>
      <w:pPr>
        <w:ind w:firstLine="210" w:firstLineChars="100"/>
        <w:jc w:val="both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</w:rPr>
        <w:t>①尊重原住民信仰</w:t>
      </w:r>
      <w:r>
        <w:rPr>
          <w:rFonts w:hint="eastAsia" w:ascii="宋体" w:hAnsi="宋体" w:eastAsia="宋体" w:cs="宋体"/>
          <w:sz w:val="21"/>
          <w:szCs w:val="24"/>
        </w:rPr>
        <w:tab/>
      </w:r>
      <w:r>
        <w:rPr>
          <w:rFonts w:hint="eastAsia" w:ascii="宋体" w:hAnsi="宋体" w:eastAsia="宋体" w:cs="宋体"/>
          <w:sz w:val="21"/>
          <w:szCs w:val="24"/>
        </w:rPr>
        <w:t xml:space="preserve"> ②保障游客安全</w:t>
      </w:r>
      <w:r>
        <w:rPr>
          <w:rFonts w:hint="eastAsia" w:ascii="宋体" w:hAnsi="宋体" w:eastAsia="宋体" w:cs="宋体"/>
          <w:sz w:val="21"/>
          <w:szCs w:val="24"/>
        </w:rPr>
        <w:tab/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4"/>
        </w:rPr>
        <w:t>③增加旅游收入   ④保护生态系统</w:t>
      </w:r>
    </w:p>
    <w:p>
      <w:pPr>
        <w:ind w:firstLine="210" w:firstLineChars="100"/>
        <w:jc w:val="both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color w:val="FF0000"/>
          <w:sz w:val="21"/>
          <w:szCs w:val="24"/>
        </w:rPr>
        <w:t>A.①②</w:t>
      </w:r>
      <w:r>
        <w:rPr>
          <w:rFonts w:hint="eastAsia" w:ascii="宋体" w:hAnsi="宋体" w:eastAsia="宋体" w:cs="宋体"/>
          <w:sz w:val="21"/>
          <w:szCs w:val="24"/>
        </w:rPr>
        <w:tab/>
      </w:r>
      <w:r>
        <w:rPr>
          <w:rFonts w:hint="eastAsia" w:ascii="宋体" w:hAnsi="宋体" w:eastAsia="宋体" w:cs="宋体"/>
          <w:sz w:val="21"/>
          <w:szCs w:val="24"/>
        </w:rPr>
        <w:t>B.①③</w:t>
      </w:r>
      <w:r>
        <w:rPr>
          <w:rFonts w:hint="eastAsia" w:ascii="宋体" w:hAnsi="宋体" w:eastAsia="宋体" w:cs="宋体"/>
          <w:sz w:val="21"/>
          <w:szCs w:val="24"/>
        </w:rPr>
        <w:tab/>
      </w:r>
      <w:r>
        <w:rPr>
          <w:rFonts w:hint="eastAsia" w:ascii="宋体" w:hAnsi="宋体" w:eastAsia="宋体" w:cs="宋体"/>
          <w:sz w:val="21"/>
          <w:szCs w:val="24"/>
        </w:rPr>
        <w:t xml:space="preserve">          C.②④     </w:t>
      </w:r>
      <w:r>
        <w:rPr>
          <w:rFonts w:hint="eastAsia" w:ascii="宋体" w:hAnsi="宋体" w:eastAsia="宋体" w:cs="宋体"/>
          <w:sz w:val="21"/>
          <w:szCs w:val="24"/>
        </w:rPr>
        <w:tab/>
      </w:r>
      <w:r>
        <w:rPr>
          <w:rFonts w:hint="eastAsia" w:ascii="宋体" w:hAnsi="宋体" w:eastAsia="宋体" w:cs="宋体"/>
          <w:sz w:val="21"/>
          <w:szCs w:val="24"/>
        </w:rPr>
        <w:t>D.③④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6.照片拍摄的时间可能是当地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ab/>
      </w:r>
    </w:p>
    <w:p>
      <w:pPr>
        <w:ind w:firstLine="210" w:firstLineChars="100"/>
        <w:jc w:val="both"/>
        <w:rPr>
          <w:rFonts w:hint="eastAsia" w:ascii="宋体" w:hAnsi="宋体" w:eastAsia="宋体" w:cs="宋体"/>
          <w:sz w:val="21"/>
          <w:szCs w:val="24"/>
        </w:rPr>
      </w:pPr>
      <w:r>
        <w:rPr>
          <w:rFonts w:hint="eastAsia" w:ascii="宋体" w:hAnsi="宋体" w:eastAsia="宋体" w:cs="宋体"/>
          <w:sz w:val="21"/>
          <w:szCs w:val="24"/>
        </w:rPr>
        <w:t>A.7月日出前后</w:t>
      </w:r>
      <w:r>
        <w:rPr>
          <w:rFonts w:hint="eastAsia" w:ascii="宋体" w:hAnsi="宋体" w:eastAsia="宋体" w:cs="宋体"/>
          <w:sz w:val="21"/>
          <w:szCs w:val="24"/>
        </w:rPr>
        <w:tab/>
      </w:r>
      <w:r>
        <w:rPr>
          <w:rFonts w:hint="eastAsia" w:ascii="宋体" w:hAnsi="宋体" w:eastAsia="宋体" w:cs="宋体"/>
          <w:sz w:val="21"/>
          <w:szCs w:val="24"/>
        </w:rPr>
        <w:tab/>
      </w:r>
      <w:r>
        <w:rPr>
          <w:rFonts w:hint="eastAsia" w:ascii="宋体" w:hAnsi="宋体" w:eastAsia="宋体" w:cs="宋体"/>
          <w:sz w:val="21"/>
          <w:szCs w:val="24"/>
        </w:rPr>
        <w:t>B.1月日落前后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FF0000"/>
          <w:sz w:val="21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sz w:val="21"/>
          <w:szCs w:val="24"/>
        </w:rPr>
        <w:t>C.1月日出前后</w:t>
      </w:r>
      <w:r>
        <w:rPr>
          <w:rFonts w:hint="eastAsia" w:ascii="宋体" w:hAnsi="宋体" w:eastAsia="宋体" w:cs="宋体"/>
          <w:sz w:val="21"/>
          <w:szCs w:val="24"/>
        </w:rPr>
        <w:tab/>
      </w:r>
      <w:r>
        <w:rPr>
          <w:rFonts w:hint="eastAsia" w:ascii="宋体" w:hAnsi="宋体" w:eastAsia="宋体" w:cs="宋体"/>
          <w:sz w:val="21"/>
          <w:szCs w:val="24"/>
        </w:rPr>
        <w:tab/>
      </w:r>
      <w:r>
        <w:rPr>
          <w:rFonts w:hint="eastAsia" w:ascii="宋体" w:hAnsi="宋体" w:eastAsia="宋体" w:cs="宋体"/>
          <w:sz w:val="21"/>
          <w:szCs w:val="24"/>
        </w:rPr>
        <w:t>D.7月曰落前后</w:t>
      </w:r>
    </w:p>
    <w:p>
      <w:pPr>
        <w:spacing w:line="360" w:lineRule="atLeast"/>
        <w:ind w:firstLine="456" w:firstLineChars="200"/>
        <w:rPr>
          <w:rFonts w:ascii="楷体" w:hAnsi="楷体" w:eastAsia="楷体"/>
          <w:spacing w:val="9"/>
          <w:sz w:val="21"/>
          <w:szCs w:val="21"/>
          <w:shd w:val="clear" w:color="auto" w:fill="FFFFFF"/>
        </w:rPr>
      </w:pPr>
      <w:r>
        <w:rPr>
          <w:rFonts w:hint="eastAsia" w:ascii="楷体" w:hAnsi="楷体" w:eastAsia="楷体"/>
          <w:spacing w:val="9"/>
          <w:sz w:val="21"/>
          <w:szCs w:val="21"/>
          <w:shd w:val="clear" w:color="auto" w:fill="FFFFFF"/>
        </w:rPr>
        <w:t>研究人员对某绿洲区不同退耕年限的样地进行研究发现，在40年退耕地植被自然演替过程中，植被群落由一年生草本植物逐渐演替为单一的灌木。下表为不同退耕年限退耕地土壤含水率的差异。读表1完成</w:t>
      </w:r>
      <w:r>
        <w:rPr>
          <w:rFonts w:hint="eastAsia" w:ascii="楷体" w:hAnsi="楷体" w:eastAsia="楷体"/>
          <w:spacing w:val="9"/>
          <w:sz w:val="21"/>
          <w:szCs w:val="21"/>
          <w:shd w:val="clear" w:color="auto" w:fill="FFFFFF"/>
          <w:lang w:val="en-US" w:eastAsia="zh-CN"/>
        </w:rPr>
        <w:t>9</w:t>
      </w:r>
      <w:r>
        <w:rPr>
          <w:rFonts w:hint="eastAsia" w:ascii="楷体" w:hAnsi="楷体" w:eastAsia="楷体" w:cs="Times New Roman"/>
          <w:sz w:val="21"/>
          <w:szCs w:val="24"/>
        </w:rPr>
        <w:t>～</w:t>
      </w:r>
      <w:r>
        <w:rPr>
          <w:rFonts w:hint="eastAsia" w:ascii="楷体" w:hAnsi="楷体" w:eastAsia="楷体"/>
          <w:spacing w:val="9"/>
          <w:sz w:val="21"/>
          <w:szCs w:val="21"/>
          <w:shd w:val="clear" w:color="auto" w:fill="FFFFFF"/>
        </w:rPr>
        <w:t>1</w:t>
      </w:r>
      <w:r>
        <w:rPr>
          <w:rFonts w:hint="eastAsia" w:ascii="楷体" w:hAnsi="楷体" w:eastAsia="楷体"/>
          <w:spacing w:val="9"/>
          <w:sz w:val="21"/>
          <w:szCs w:val="21"/>
          <w:shd w:val="clear" w:color="auto" w:fill="FFFFFF"/>
          <w:lang w:val="en-US" w:eastAsia="zh-CN"/>
        </w:rPr>
        <w:t>0</w:t>
      </w:r>
      <w:r>
        <w:rPr>
          <w:rFonts w:hint="eastAsia" w:ascii="楷体" w:hAnsi="楷体" w:eastAsia="楷体"/>
          <w:spacing w:val="9"/>
          <w:sz w:val="21"/>
          <w:szCs w:val="21"/>
          <w:shd w:val="clear" w:color="auto" w:fill="FFFFFF"/>
        </w:rPr>
        <w:t>题。</w:t>
      </w:r>
    </w:p>
    <w:p>
      <w:pPr>
        <w:spacing w:line="360" w:lineRule="atLeast"/>
        <w:ind w:firstLine="456" w:firstLineChars="200"/>
        <w:rPr>
          <w:rFonts w:ascii="楷体" w:hAnsi="楷体" w:eastAsia="楷体"/>
          <w:spacing w:val="9"/>
          <w:sz w:val="21"/>
          <w:szCs w:val="21"/>
          <w:shd w:val="clear" w:color="auto" w:fill="FFFFFF"/>
        </w:rPr>
      </w:pPr>
      <w:r>
        <w:rPr>
          <w:rFonts w:hint="eastAsia" w:ascii="楷体" w:hAnsi="楷体" w:eastAsia="楷体"/>
          <w:spacing w:val="9"/>
          <w:sz w:val="21"/>
          <w:szCs w:val="21"/>
          <w:shd w:val="clear" w:color="auto" w:fill="FFFFFF"/>
        </w:rPr>
        <w:t xml:space="preserve">          表1:</w:t>
      </w:r>
    </w:p>
    <w:tbl>
      <w:tblPr>
        <w:tblStyle w:val="5"/>
        <w:tblW w:w="0" w:type="auto"/>
        <w:tblInd w:w="17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vAlign w:val="center"/>
          </w:tcPr>
          <w:p>
            <w:pPr>
              <w:spacing w:line="360" w:lineRule="atLeast"/>
              <w:ind w:firstLine="210" w:firstLineChars="100"/>
              <w:jc w:val="center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退耕年限/年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含水率/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﹪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含水率/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spacing w:line="360" w:lineRule="atLeast"/>
              <w:ind w:firstLine="912" w:firstLineChars="400"/>
              <w:jc w:val="center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  <w:t>深度</w:t>
            </w:r>
            <w:r>
              <w:rPr>
                <w:rFonts w:hint="eastAsia"/>
                <w:sz w:val="21"/>
                <w:szCs w:val="21"/>
                <w:lang w:val="zh-CN"/>
              </w:rPr>
              <w:t>0～20cm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  <w:t>深度</w:t>
            </w:r>
            <w:r>
              <w:rPr>
                <w:rFonts w:hint="eastAsia"/>
                <w:sz w:val="21"/>
                <w:szCs w:val="21"/>
                <w:lang w:val="zh-CN"/>
              </w:rPr>
              <w:t>20~40cm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tLeast"/>
              <w:jc w:val="center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spacing w:val="9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0.078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tLeast"/>
              <w:jc w:val="center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spacing w:val="9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0.074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tLeast"/>
              <w:jc w:val="center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spacing w:val="9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0.070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tLeast"/>
              <w:jc w:val="center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spacing w:val="9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0.059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tLeast"/>
              <w:jc w:val="center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spacing w:val="9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0.094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tLeast"/>
              <w:jc w:val="center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spacing w:val="9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0.103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spacing w:line="360" w:lineRule="atLeast"/>
              <w:jc w:val="center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/>
                <w:spacing w:val="9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0.068</w:t>
            </w:r>
          </w:p>
        </w:tc>
        <w:tc>
          <w:tcPr>
            <w:tcW w:w="1559" w:type="dxa"/>
          </w:tcPr>
          <w:p>
            <w:pPr>
              <w:spacing w:line="360" w:lineRule="atLeast"/>
              <w:rPr>
                <w:rFonts w:ascii="楷体" w:hAnsi="楷体" w:eastAsia="楷体"/>
                <w:spacing w:val="9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lang w:val="zh-CN"/>
              </w:rPr>
              <w:t>0.053</w:t>
            </w:r>
          </w:p>
        </w:tc>
      </w:tr>
    </w:tbl>
    <w:p>
      <w:pPr>
        <w:rPr>
          <w:rFonts w:asciiTheme="minorEastAsia" w:hAnsiTheme="minorEastAsia"/>
          <w:sz w:val="21"/>
          <w:szCs w:val="24"/>
        </w:rPr>
      </w:pPr>
      <w:r>
        <w:rPr>
          <w:rFonts w:hint="eastAsia" w:asciiTheme="minorEastAsia" w:hAnsiTheme="minorEastAsia"/>
          <w:sz w:val="21"/>
          <w:szCs w:val="24"/>
          <w:lang w:val="en-US" w:eastAsia="zh-CN"/>
        </w:rPr>
        <w:t>9</w:t>
      </w:r>
      <w:r>
        <w:rPr>
          <w:rFonts w:hint="eastAsia" w:asciiTheme="minorEastAsia" w:hAnsiTheme="minorEastAsia"/>
          <w:sz w:val="21"/>
          <w:szCs w:val="24"/>
        </w:rPr>
        <w:t>．随着退耕年限的增加，相同土层深度土壤含水率的变化情况是</w:t>
      </w:r>
    </w:p>
    <w:p>
      <w:pPr>
        <w:ind w:firstLine="420" w:firstLineChars="200"/>
        <w:rPr>
          <w:rFonts w:asciiTheme="minorEastAsia" w:hAnsiTheme="minorEastAsia"/>
          <w:sz w:val="21"/>
          <w:szCs w:val="24"/>
        </w:rPr>
      </w:pPr>
      <w:r>
        <w:rPr>
          <w:rFonts w:hint="eastAsia" w:asciiTheme="minorEastAsia" w:hAnsiTheme="minorEastAsia"/>
          <w:sz w:val="21"/>
          <w:szCs w:val="24"/>
        </w:rPr>
        <w:t xml:space="preserve">A. 先升高后降低                        </w:t>
      </w:r>
      <w:r>
        <w:rPr>
          <w:rFonts w:hint="eastAsia" w:asciiTheme="minorEastAsia" w:hAnsiTheme="minorEastAsia"/>
          <w:color w:val="FF0000"/>
          <w:sz w:val="21"/>
          <w:szCs w:val="24"/>
        </w:rPr>
        <w:t xml:space="preserve"> B.先降低后升高再降低</w:t>
      </w:r>
    </w:p>
    <w:p>
      <w:pPr>
        <w:ind w:firstLine="420" w:firstLineChars="200"/>
        <w:rPr>
          <w:rFonts w:asciiTheme="minorEastAsia" w:hAnsiTheme="minorEastAsia"/>
          <w:sz w:val="21"/>
          <w:szCs w:val="24"/>
        </w:rPr>
      </w:pPr>
      <w:r>
        <w:rPr>
          <w:rFonts w:hint="eastAsia" w:asciiTheme="minorEastAsia" w:hAnsiTheme="minorEastAsia"/>
          <w:sz w:val="21"/>
          <w:szCs w:val="24"/>
        </w:rPr>
        <w:t>C. 先降低后升高                         D.先升高后降低再升高</w:t>
      </w:r>
    </w:p>
    <w:p>
      <w:pPr>
        <w:rPr>
          <w:rFonts w:asciiTheme="minorEastAsia" w:hAnsiTheme="minorEastAsia"/>
          <w:sz w:val="21"/>
          <w:szCs w:val="24"/>
        </w:rPr>
      </w:pPr>
      <w:r>
        <w:rPr>
          <w:rFonts w:hint="eastAsia" w:asciiTheme="minorEastAsia" w:hAnsiTheme="minorEastAsia"/>
          <w:sz w:val="21"/>
          <w:szCs w:val="24"/>
        </w:rPr>
        <w:t>1</w:t>
      </w:r>
      <w:r>
        <w:rPr>
          <w:rFonts w:hint="eastAsia" w:asciiTheme="minorEastAsia" w:hAnsiTheme="minorEastAsia"/>
          <w:sz w:val="21"/>
          <w:szCs w:val="24"/>
          <w:lang w:val="en-US" w:eastAsia="zh-CN"/>
        </w:rPr>
        <w:t>0</w:t>
      </w:r>
      <w:r>
        <w:rPr>
          <w:rFonts w:hint="eastAsia" w:asciiTheme="minorEastAsia" w:hAnsiTheme="minorEastAsia"/>
          <w:sz w:val="21"/>
          <w:szCs w:val="24"/>
        </w:rPr>
        <w:t>.退耕后期深层土壤含水率低于表层，其原因主要是</w:t>
      </w:r>
    </w:p>
    <w:p>
      <w:pPr>
        <w:ind w:firstLine="420" w:firstLineChars="200"/>
        <w:rPr>
          <w:rFonts w:asciiTheme="minorEastAsia" w:hAnsiTheme="minorEastAsia"/>
          <w:sz w:val="21"/>
          <w:szCs w:val="24"/>
        </w:rPr>
      </w:pPr>
      <w:r>
        <w:rPr>
          <w:rFonts w:hint="eastAsia" w:asciiTheme="minorEastAsia" w:hAnsiTheme="minorEastAsia"/>
          <w:sz w:val="21"/>
          <w:szCs w:val="24"/>
        </w:rPr>
        <w:t>A．地表裸露，地表气温高，蒸发强烈       B．草本植物为主，涵养水源能力弱</w:t>
      </w:r>
    </w:p>
    <w:p>
      <w:pPr>
        <w:ind w:firstLine="420" w:firstLineChars="200"/>
        <w:rPr>
          <w:rFonts w:asciiTheme="minorEastAsia" w:hAnsiTheme="minorEastAsia"/>
          <w:color w:val="FF0000"/>
          <w:sz w:val="21"/>
          <w:szCs w:val="24"/>
        </w:rPr>
      </w:pPr>
      <w:r>
        <w:rPr>
          <w:rFonts w:hint="eastAsia" w:asciiTheme="minorEastAsia" w:hAnsiTheme="minorEastAsia"/>
          <w:sz w:val="21"/>
          <w:szCs w:val="24"/>
        </w:rPr>
        <w:t xml:space="preserve">C．植被茂密，地表气温低，蒸发减弱       </w:t>
      </w:r>
      <w:r>
        <w:rPr>
          <w:rFonts w:hint="eastAsia" w:asciiTheme="minorEastAsia" w:hAnsiTheme="minorEastAsia"/>
          <w:color w:val="FF0000"/>
          <w:sz w:val="21"/>
          <w:szCs w:val="24"/>
        </w:rPr>
        <w:t>D．灌木植物为主，吸收深层土壤水</w:t>
      </w:r>
    </w:p>
    <w:p>
      <w:pPr>
        <w:numPr>
          <w:ilvl w:val="0"/>
          <w:numId w:val="0"/>
        </w:numPr>
        <w:jc w:val="both"/>
        <w:rPr>
          <w:rFonts w:hint="eastAsia"/>
          <w:sz w:val="18"/>
          <w:szCs w:val="21"/>
        </w:rPr>
      </w:pP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龙岩五月质检，18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1.阅读图文材料，完成下列要求。(22分)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海南省三沙市南沙区永暑岛是建在永暑礁上的人天岛(图7)，面积居南海岛屿中的前三位。永暑礁为具有上土下岩的二元地质结构珊瑚礁(图8)，“下岩” 是形成于末次冰期及以前的礁灰岩( 保留了原生生物的骨架孔隙)，渗透性强；“上土”是末次冰期后由珊瑚碎屑和砂土沉积形成的礁砂砾土层，渗透性较弱，海水不易渗入，地表淡水却容易下渗留存。建岛2年后，在该岛发现了地下淡水资源，其形成和更新都比大陆快。</w:t>
      </w:r>
    </w:p>
    <w:p>
      <w:pPr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5272405" cy="3190240"/>
            <wp:effectExtent l="0" t="0" r="10795" b="10160"/>
            <wp:docPr id="8" name="图片 8" descr="1_meit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_meitu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(1)形成珊瑚礁上土下岩渗透性差异与海平面升降有关，分析这种渗透性差异形成的原因。(6分)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(2)从水循环角度说明永暑岛地下淡水形成和更新都较快的原因。(8分)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(3)有人认为永暑岛应大力发展旅游业，你是否赞同?并说明理由。(8分)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 (22分)</w:t>
      </w:r>
    </w:p>
    <w:p>
      <w:pPr>
        <w:ind w:left="480" w:hanging="420" w:hanging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末次冰期时气温较低，海平面下降，礁灰岩暴露在海平面以上；(礁灰岩)受流水、风力、海浪等的侵蚀，溶蚀孔洞发育，(保留了原生生物的骨架孔隙，)孔隙较多较大，渗透性强；末次冰期后，气候变暖，海平面上升，水下沉积的珊瑚碎屑和砂土，颗粒较细，形成的礁砂砾土层孔隙较小，渗透性较弱。(每点2分，共6分)</w:t>
      </w:r>
    </w:p>
    <w:p>
      <w:pPr>
        <w:ind w:left="480" w:hanging="420" w:hanging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永暑岛属于热带雨林气候、降水丰富；面积较大(有足够的宽度),可以积累足够的地表水；土层(主要为珊瑚碎屑沉积物)渗透性较低，海水不易渗入，地表淡水却容易下渗留存；地势平坦，地表水易下渗；地下淡水水量较少(体积较小),埋藏较浅，所以更新时间较短。(每点2分，答对其中四点得8分)</w:t>
      </w:r>
    </w:p>
    <w:p>
      <w:pPr>
        <w:ind w:left="480" w:hanging="420" w:hanging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赞同：永暑岛地处热带，有独特的热带海岛风光，且海洋生物资源丰富，旅游资源丰富；永暑岛位于南海航线，且有机场，能够满足游客的进出；中国经济发展迅速，居民收入增长快，客源市场广阔；南沙区政府所在地，有地下淡水资源，有一定公共设施和旅游配套设施。(每点2分，答对其中四点得8分)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</w:p>
    <w:p>
      <w:pPr>
        <w:ind w:left="479" w:leftChars="228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不赞同：距离中国大陆较远，客源市场距离较远；属于海岛，交通不便；岛屿面积较小，接待能力有限；人工岛生态环境较脆弱，大量游客易造成生态环境破坏；当地淡水资源不足，无法满足游容和当地居民的生活需要；建岛时间不长，公共设施和旅游配套设施建设不够完善。(每点2分，答对其中四点得8分)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龙岩五月质检，19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.阅读图文材料，完成下列要求。( 10分)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高山滑雪被誉为“冬奥会皇冠上的明珠”，是最具观赏性的冬奥项目之一。该项目要求赛道的坡度为15°-30°( Sin15°=0.2589)，在长度3000米范围内实现800米以上落差。图9示意2022年北京冬奥会北京延庆小海坨山国家高山滑雪雪道地区等高线分布。</w:t>
      </w: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4001135" cy="2997835"/>
            <wp:effectExtent l="0" t="0" r="12065" b="12065"/>
            <wp:docPr id="7" name="图片 7" descr="2_meitu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_meitu_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图中线路甲、乙。丙中最终确定乙作为冬奥会高山滑雪赛道的一条主雪道，长度约为3000米，请画图示意该雪道沿途高程的大致变化，并说明确定乙线路作为高山滑雪主雪道的理由。( 10分)</w:t>
      </w:r>
    </w:p>
    <w:p>
      <w:pPr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3129280" cy="2231390"/>
            <wp:effectExtent l="0" t="0" r="7620" b="3810"/>
            <wp:docPr id="9" name="图片 9" descr="3_meitu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_meitu_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 ( 10分)</w:t>
      </w:r>
    </w:p>
    <w:p>
      <w:pPr>
        <w:rPr>
          <w:rFonts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绘图如下</w:t>
      </w:r>
    </w:p>
    <w:p>
      <w:pPr>
        <w:jc w:val="center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2990850" cy="2219325"/>
            <wp:effectExtent l="0" t="0" r="6350" b="3175"/>
            <wp:docPr id="10" name="图片 10" descr="4_meitu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_meitu_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绘图要求：纵坐标标注数值、要素(高程)(1分)；最高海拔接近2200米，(1分)最低海拔1300米(1分)；沿途高程变化5分)。</w:t>
      </w:r>
    </w:p>
    <w:p>
      <w:pPr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原因：滑雪雪道落差约900米，大于800米，长度约3000米，符合该项目赛道的落差和长度的要求(2分)；滑雪雪道落差与长度的比值约为0.3 (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sz w:val="21"/>
          <w:szCs w:val="21"/>
        </w:rPr>
        <w:t>00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sz w:val="21"/>
          <w:szCs w:val="21"/>
        </w:rPr>
        <w:t>3000)，在0.2589-0.5之间，即坡度在15°-30°之间，符合赛道的坡度要求(2分)；主要位于山脊上，有利于高山滑雪各个项目比赛和观众观者(位于山地南坡，阳光较充足，利于观众观看)(2分)。</w:t>
      </w:r>
    </w:p>
    <w:p>
      <w:pPr>
        <w:rPr>
          <w:sz w:val="18"/>
          <w:szCs w:val="21"/>
        </w:rPr>
      </w:pPr>
    </w:p>
    <w:p>
      <w:pPr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64F4B"/>
    <w:rsid w:val="052A1805"/>
    <w:rsid w:val="1C473212"/>
    <w:rsid w:val="25090B07"/>
    <w:rsid w:val="2EFD7E2D"/>
    <w:rsid w:val="30AA0E08"/>
    <w:rsid w:val="6C061BD8"/>
    <w:rsid w:val="703C064F"/>
    <w:rsid w:val="7BA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2021-05-09T05:47:00Z</dcterms:created>
  <dc:creator>Administrator</dc:creator>
  <cp:lastModifiedBy>cwz</cp:lastModifiedBy>
  <dcterms:modified xsi:type="dcterms:W3CDTF">2021-05-18T06:56:09Z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8038F018ABB54484A39AE9ED7479650E</vt:lpwstr>
  </property>
</Properties>
</file>