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default" w:hAnsi="宋体" w:eastAsia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化学反应中的热效应2</w:t>
      </w:r>
      <w:r>
        <w:rPr>
          <w:rFonts w:hint="eastAsia" w:hAnsi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2020/09/06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1．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下列说法正确的是（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/>
        <w:jc w:val="left"/>
        <w:textAlignment w:val="auto"/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．Ba(OH)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·8H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O与NH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:lang w:bidi="a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Cl常温下混合就能反应，可知该反应为放热反应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/>
        <w:jc w:val="left"/>
        <w:textAlignment w:val="auto"/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可逆反应的Δ</w:t>
      </w:r>
      <w:r>
        <w:rPr>
          <w:rFonts w:ascii="Times New Roman" w:hAnsi="Times New Roman"/>
          <w:b/>
          <w:bCs/>
          <w:i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表示完全反应时的热量变化，与反应是否可逆无关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/>
        <w:jc w:val="left"/>
        <w:textAlignment w:val="auto"/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甲烷燃烧热为890kJ·mol</w:t>
      </w:r>
      <w:r>
        <w:rPr>
          <w:rFonts w:ascii="Times New Roman" w:hAnsi="Times New Roman" w:eastAsia="MS Mincho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，则有CH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(g)+2O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015" cy="76835"/>
            <wp:effectExtent l="0" t="0" r="635" b="8890"/>
            <wp:docPr id="4" name="图片 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6ec8aac122bd4f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(g)+2H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O(g)  </w:t>
      </w:r>
      <w:r>
        <w:rPr>
          <w:rFonts w:ascii="Cambria Math" w:hAnsi="Cambria Math" w:cs="Cambria Math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890kJ·mol</w:t>
      </w:r>
      <w:r>
        <w:rPr>
          <w:rFonts w:ascii="Times New Roman" w:hAnsi="Times New Roman" w:eastAsia="MS Mincho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/>
        <w:jc w:val="left"/>
        <w:textAlignment w:val="auto"/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12g石墨(s)完全燃烧放出热量393.5kJ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，则有：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C(s)+O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015" cy="76835"/>
            <wp:effectExtent l="0" t="0" r="635" b="8890"/>
            <wp:docPr id="6" name="图片 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6ec8aac122bd4f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(g)  </w:t>
      </w:r>
      <w:r>
        <w:rPr>
          <w:rFonts w:ascii="Cambria Math" w:hAnsi="Cambria Math" w:cs="Cambria Math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＝－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393.5kJ·mol</w:t>
      </w:r>
      <w:r>
        <w:rPr>
          <w:rFonts w:ascii="Times New Roman" w:hAnsi="Times New Roman" w:eastAsia="MS Mincho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．下列图示与对应的叙述相符的是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87015" cy="1068070"/>
            <wp:effectExtent l="0" t="0" r="381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2540" cy="1113790"/>
            <wp:effectExtent l="0" t="0" r="635" b="635"/>
            <wp:docPr id="27" name="图片 9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．图甲中的Δ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＞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2" w:firstLineChars="200"/>
        <w:textAlignment w:val="auto"/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B．图乙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图表示实验的环境温度20</w:t>
      </w:r>
      <w:r>
        <w:rPr>
          <w:rFonts w:ascii="宋体" w:hAnsi="宋体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，将物质的量浓度相等、体积分别为</w:t>
      </w:r>
      <w:r>
        <w:rPr>
          <w:rFonts w:ascii="Times New Roman" w:hAnsi="Times New Roman"/>
          <w:b/>
          <w:bCs/>
          <w:i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b/>
          <w:bCs/>
          <w:i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的H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、NaOH溶液混合，测量混合液温度，结果如图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b/>
          <w:bCs/>
          <w:i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i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＝60mL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C．图丙表示充满NO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气体的试管，倒置于水槽中，向其中缓慢通入氧气直至试管中全部充满水，假设溶质不扩散，溶质的物质的量浓度与通入氧气的体积关系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D．由图丁可说明烯烃与H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加成反应是放热反应，虚线表示在有催化剂的条件下进行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．一定条件下，在水溶液中1mol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x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＝1,2,3,4)的能量(kJ)相对大小如图所示，下列有关说法正确的是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935" distR="114935">
            <wp:extent cx="1781175" cy="1218565"/>
            <wp:effectExtent l="0" t="0" r="0" b="635"/>
            <wp:docPr id="29" name="图片 9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A．e是ClO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B．b→a＋c反应的活化能为60kJ·mol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C．a、b、c、d、e中c最稳定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D．b→a＋d反应的热化学方程式为3ClO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(aq)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(aq)＋2Cl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(aq)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＝－116kJ·mol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◆高考回访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1．[2019·课标全国Ⅱ，27(1)节选]环戊二烯(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259080"/>
            <wp:effectExtent l="0" t="0" r="11430" b="7620"/>
            <wp:docPr id="146" name="图片 19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9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)是重要的有机化工原料，广泛用于农药、橡胶、塑料等生产。回答下列问题：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9560" cy="251460"/>
            <wp:effectExtent l="0" t="0" r="15240" b="15240"/>
            <wp:docPr id="147" name="图片 19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9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259080"/>
            <wp:effectExtent l="0" t="0" r="11430" b="7620"/>
            <wp:docPr id="148" name="图片 19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9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(g)＋H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＝100.3kJ·mol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①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(g)＋I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=2HI(g)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＝－11.0kJ·mol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②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对于反应：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9560" cy="251460"/>
            <wp:effectExtent l="0" t="0" r="15240" b="15240"/>
            <wp:docPr id="149" name="图片 19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9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(g)＋I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259080"/>
            <wp:effectExtent l="0" t="0" r="11430" b="7620"/>
            <wp:docPr id="150" name="图片 19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9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(g)＋2HI(g)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＝________kJ·mol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③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2．[2018·课标全国Ⅱ，27(1)]CH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催化重整不仅可以得到合成气(CO和H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)，还对温室气体的减排具有重要意义。回答下列问题：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已知：CH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催化重整反应为：CH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(g)＋CO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=2CO(g)＋2H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已知：C(s)＋2H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＝－75kJ·mol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C(s)＋O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＝－394kJ·mol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C(s)＋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=CO(g)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＝－111kJ·mol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该催化重整反应的Δ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＝________kJ·mol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[2019·北京理综，27(1)节选]甲烷水蒸气催化重整是制高纯氢的方法之一。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①反应器中初始反应的生成物为H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和CO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，其物质的量之比为4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1，甲烷和水蒸气反应的方程式是___________________________________________________________。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②已知反应器中还存在如下反应：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(g)＋H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=CO(g)＋3H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CO(g)＋H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(g)＋H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ⅲ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=C(s)＋2H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ⅲ为积炭反应，利用Δ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和Δ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计算Δ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时，还需要利用_________________反应的Δ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[2016·浙江10月选考节选]氯及其化合物在生活和生产中应用广泛。已知：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(g)+2NaOH(aq)==NaCl(aq)+NaClO(aq)+H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O(l)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△H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102kJ·mol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3Cl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(g)+6NaOH(aq)==5NaCl(aq)+NaClO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(aq)+3H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O(1)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△H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422kJ·mol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①写出在溶液中NaClO分解生成NaClO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的热化学方程式_____________________。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[2019·海南，5]根据图中的能量关系，可求得C—H的键能为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jc w:val="center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10740" cy="1228090"/>
            <wp:effectExtent l="0" t="0" r="3810" b="635"/>
            <wp:docPr id="2" name="图片 19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A．414kJ·mol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B．377kJ·mol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C．235kJ·mol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D．197kJ·mol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[2018·天津理综节选]CO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与CH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经催化重整，制得合成气：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(g)＋CO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\o(,\s\up7(催化剂))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2CO(g)＋2H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①已知上述反应中相关的化学键键能数据如下：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898"/>
        <w:gridCol w:w="1044"/>
        <w:gridCol w:w="91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化学键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36220" cy="236220"/>
                  <wp:effectExtent l="0" t="0" r="11430" b="11430"/>
                  <wp:docPr id="151" name="图片 1" descr="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O(CO)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键能/kJ·mol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－1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745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8" w:lineRule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1 075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则该反应的Δ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＝________。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[2019·课标全国卷Ⅲ，28]近年来，随着聚酯工业的快速发展，氯气的需求量和氯化氢的产出量也随之迅速增长。Deacon直接氧化法可按下列催化过程进行：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CuCl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(s)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=CuCl(s)＋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＝83kJ·mol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CuCl(s)＋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=CuO(s)＋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＝－20kJ·mol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Ⅲ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CuO(s)＋2HCl(g)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=CuCl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(s)＋H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O(g)　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＝－121kJ·mol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eastAsia" w:ascii="Times New Roman" w:hAnsi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则4HCl(g)＋O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=2Cl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O(g)的Δ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＝________kJ·mol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hint="eastAsia" w:ascii="Times New Roman" w:hAnsi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1．B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2</w:t>
      </w:r>
      <w:r>
        <w:rPr>
          <w:rFonts w:hint="eastAsia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    3</w:t>
      </w:r>
      <w:r>
        <w:rPr>
          <w:rFonts w:hint="eastAsia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89.3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(1)247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①CH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=,\s\up7(催化剂))</w:instrTex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4H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22" w:firstLineChars="200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②C(s)＋2H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(g)＋2H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(g)或C(s)＋CO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=2CO(g)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center"/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①3NaClO(aq)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w w:val="150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2NaCl(aq)＋NaClO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(aq)　</w:t>
      </w:r>
      <w:r>
        <w:rPr>
          <w:rFonts w:hint="default" w:ascii="Times New Roman" w:hAnsi="Times New Roman" w:cs="Times New Roman" w:eastAsiaTheme="minorEastAsia"/>
          <w:b/>
          <w:bCs/>
          <w:i/>
          <w:color w:val="000000" w:themeColor="text1"/>
          <w14:textFill>
            <w14:solidFill>
              <w14:schemeClr w14:val="tx1"/>
            </w14:solidFill>
          </w14:textFill>
        </w:rPr>
        <w:t>△H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＝－116kJ·mol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A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cs="Times New Roman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＋120kJ·mol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 w:eastAsiaTheme="minorEastAsia"/>
          <w:b/>
          <w:bCs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－116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8CC4"/>
    <w:multiLevelType w:val="singleLevel"/>
    <w:tmpl w:val="180D8CC4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7C95"/>
    <w:rsid w:val="03042EDE"/>
    <w:rsid w:val="0D225C58"/>
    <w:rsid w:val="15102737"/>
    <w:rsid w:val="157D1847"/>
    <w:rsid w:val="19857770"/>
    <w:rsid w:val="1B550226"/>
    <w:rsid w:val="217D47F8"/>
    <w:rsid w:val="27134DEF"/>
    <w:rsid w:val="2C8F7C95"/>
    <w:rsid w:val="369537A7"/>
    <w:rsid w:val="3D1B44B2"/>
    <w:rsid w:val="3DA670D2"/>
    <w:rsid w:val="46452C13"/>
    <w:rsid w:val="4A055166"/>
    <w:rsid w:val="63D156F2"/>
    <w:rsid w:val="652A1A4C"/>
    <w:rsid w:val="6BE97A21"/>
    <w:rsid w:val="70A9211A"/>
    <w:rsid w:val="70F90F88"/>
    <w:rsid w:val="76362ACD"/>
    <w:rsid w:val="7A2B101E"/>
    <w:rsid w:val="7CB73A95"/>
    <w:rsid w:val="7E9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file:///D:\20191031&#36920;&#38543;&#25991;&#26723;\&#35838;&#22530;&#25945;&#23398;\2018-01-28&#19979;&#36733;&#36164;&#28304;\&#27493;&#27493;&#39640;&#30005;&#23376;&#29256;\2020&#29256;&#27493;&#27493;&#39640;&#65288;&#19968;&#36718;&#65289;&#65288;2021&#23626;&#65289;\word\540.TIF" TargetMode="Externa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2020-09-06T16:14:00Z</dcterms:created>
  <dc:creator>胜牛牛</dc:creator>
  <cp:lastModifiedBy>圆圆～周奕女</cp:lastModifiedBy>
  <dcterms:modified xsi:type="dcterms:W3CDTF">2020-09-08T01:53:05Z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